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5.11.0.0 -->
  <w:body>
    <w:p>
      <w:pPr>
        <w:spacing w:line="720" w:lineRule="exact"/>
        <w:jc w:val="center"/>
        <w:rPr>
          <w:rFonts w:ascii="宋体" w:eastAsia="方正小标宋简体" w:hAnsi="宋体"/>
          <w:snapToGrid w:val="0"/>
          <w:sz w:val="44"/>
          <w:szCs w:val="44"/>
        </w:rPr>
      </w:pPr>
      <w:r>
        <w:rPr>
          <w:rFonts w:ascii="宋体" w:eastAsia="方正小标宋简体" w:hAnsi="宋体" w:hint="eastAsia"/>
          <w:snapToGrid w:val="0"/>
          <w:sz w:val="44"/>
          <w:szCs w:val="44"/>
        </w:rPr>
        <w:t>全区工业企业数字化转型工作方案</w:t>
      </w:r>
    </w:p>
    <w:p>
      <w:pPr>
        <w:spacing w:line="720" w:lineRule="exact"/>
        <w:jc w:val="center"/>
        <w:rPr>
          <w:rFonts w:ascii="宋体" w:eastAsia="方正小标宋简体" w:hAnsi="宋体"/>
          <w:snapToGrid w:val="0"/>
          <w:sz w:val="44"/>
          <w:szCs w:val="44"/>
        </w:rPr>
      </w:pPr>
      <w:r>
        <w:rPr>
          <w:rFonts w:ascii="宋体" w:eastAsia="方正小标宋简体" w:hAnsi="宋体" w:hint="eastAsia"/>
          <w:snapToGrid w:val="0"/>
          <w:sz w:val="44"/>
          <w:szCs w:val="44"/>
        </w:rPr>
        <w:t>（</w:t>
      </w:r>
      <w:r>
        <w:rPr>
          <w:rFonts w:ascii="方正小标宋简体" w:eastAsia="方正小标宋简体" w:hAnsi="方正小标宋简体" w:cs="方正小标宋简体" w:hint="eastAsia"/>
          <w:snapToGrid w:val="0"/>
          <w:sz w:val="44"/>
          <w:szCs w:val="44"/>
        </w:rPr>
        <w:t>2024</w:t>
      </w:r>
      <w:r>
        <w:rPr>
          <w:rFonts w:ascii="方正小标宋简体" w:eastAsia="方正小标宋简体" w:hAnsi="方正小标宋简体" w:cs="方正小标宋简体" w:hint="eastAsia"/>
          <w:snapToGrid w:val="0"/>
          <w:sz w:val="44"/>
          <w:szCs w:val="44"/>
        </w:rPr>
        <w:t>—</w:t>
      </w:r>
      <w:r>
        <w:rPr>
          <w:rFonts w:ascii="方正小标宋简体" w:eastAsia="方正小标宋简体" w:hAnsi="方正小标宋简体" w:cs="方正小标宋简体" w:hint="eastAsia"/>
          <w:snapToGrid w:val="0"/>
          <w:sz w:val="44"/>
          <w:szCs w:val="44"/>
        </w:rPr>
        <w:t>2026</w:t>
      </w:r>
      <w:r>
        <w:rPr>
          <w:rFonts w:ascii="宋体" w:eastAsia="方正小标宋简体" w:hAnsi="宋体" w:hint="eastAsia"/>
          <w:snapToGrid w:val="0"/>
          <w:sz w:val="44"/>
          <w:szCs w:val="44"/>
        </w:rPr>
        <w:t>年）</w:t>
      </w:r>
    </w:p>
    <w:p>
      <w:pPr>
        <w:spacing w:line="240" w:lineRule="auto"/>
        <w:rPr>
          <w:rFonts w:ascii="宋体" w:eastAsia="仿宋_GB2312" w:hAnsi="宋体"/>
          <w:snapToGrid w:val="0"/>
          <w:sz w:val="32"/>
          <w:szCs w:val="32"/>
        </w:rPr>
      </w:pPr>
    </w:p>
    <w:p>
      <w:pPr>
        <w:spacing w:line="240" w:lineRule="auto"/>
        <w:ind w:firstLine="311" w:firstLineChars="148"/>
        <w:rPr>
          <w:rFonts w:ascii="宋体" w:eastAsia="仿宋_GB2312" w:hAnsi="宋体"/>
          <w:b w:val="0"/>
          <w:bCs w:val="0"/>
          <w:snapToGrid w:val="0"/>
          <w:sz w:val="32"/>
          <w:szCs w:val="32"/>
        </w:rPr>
      </w:pPr>
      <w:r>
        <w:rPr>
          <w:rFonts w:ascii="宋体" w:eastAsia="仿宋_GB2312" w:hAnsi="宋体" w:hint="eastAsia"/>
          <w:b w:val="0"/>
          <w:bCs w:val="0"/>
          <w:snapToGrid w:val="0"/>
          <w:sz w:val="32"/>
          <w:szCs w:val="32"/>
        </w:rPr>
        <w:t>为贯彻党中央、国务院关于加快制造业数字化转型战略部署，落实《广西实施新一轮工业振兴三年行动方案》要求，加快提升制造业核心竞争力，形成新质生产力，推进新型工业化，促进制造业转型升级和高质量发展，制定以下工作方案。</w:t>
      </w:r>
    </w:p>
    <w:p>
      <w:pPr>
        <w:spacing w:line="240" w:lineRule="auto"/>
        <w:ind w:firstLine="311" w:firstLineChars="148"/>
        <w:rPr>
          <w:rFonts w:ascii="宋体" w:eastAsia="黑体" w:hAnsi="宋体"/>
          <w:b w:val="0"/>
          <w:bCs w:val="0"/>
          <w:snapToGrid w:val="0"/>
          <w:sz w:val="32"/>
          <w:szCs w:val="32"/>
        </w:rPr>
      </w:pPr>
      <w:r>
        <w:rPr>
          <w:rFonts w:ascii="宋体" w:eastAsia="黑体" w:hAnsi="宋体" w:hint="eastAsia"/>
          <w:b w:val="0"/>
          <w:bCs w:val="0"/>
          <w:snapToGrid w:val="0"/>
          <w:sz w:val="32"/>
          <w:szCs w:val="32"/>
        </w:rPr>
        <w:t>一、发展现状</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从整体来看，</w:t>
      </w:r>
      <w:r>
        <w:rPr>
          <w:rFonts w:ascii="仿宋_GB2312" w:eastAsia="仿宋_GB2312" w:hAnsi="仿宋_GB2312" w:cs="仿宋_GB2312" w:hint="eastAsia"/>
          <w:b w:val="0"/>
          <w:bCs w:val="0"/>
          <w:snapToGrid w:val="0"/>
          <w:sz w:val="32"/>
          <w:szCs w:val="32"/>
        </w:rPr>
        <w:t>11.5%的企业处于创新引领阶段，关键业务已实现数据驱动的创新发展</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28.37%的企业处于业务集成阶段</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在主营业务板块实现信息系</w:t>
      </w:r>
      <w:r>
        <w:rPr>
          <w:rFonts w:ascii="仿宋_GB2312" w:eastAsia="仿宋_GB2312" w:hAnsi="仿宋_GB2312" w:cs="仿宋_GB2312" w:hint="eastAsia"/>
          <w:b w:val="0"/>
          <w:bCs w:val="0"/>
          <w:snapToGrid w:val="0"/>
          <w:sz w:val="32"/>
          <w:szCs w:val="32"/>
        </w:rPr>
        <w:t>统集成，具备了全面转型发展的条件和基础；</w:t>
      </w:r>
      <w:r>
        <w:rPr>
          <w:rFonts w:ascii="仿宋_GB2312" w:eastAsia="仿宋_GB2312" w:hAnsi="仿宋_GB2312" w:cs="仿宋_GB2312" w:hint="eastAsia"/>
          <w:b w:val="0"/>
          <w:bCs w:val="0"/>
          <w:snapToGrid w:val="0"/>
          <w:sz w:val="32"/>
          <w:szCs w:val="32"/>
        </w:rPr>
        <w:t>14.75%的企业</w:t>
      </w:r>
      <w:r>
        <w:rPr>
          <w:rFonts w:ascii="仿宋_GB2312" w:eastAsia="仿宋_GB2312" w:hAnsi="仿宋_GB2312" w:cs="仿宋_GB2312" w:hint="eastAsia"/>
          <w:b w:val="0"/>
          <w:bCs w:val="0"/>
          <w:snapToGrid w:val="0"/>
          <w:sz w:val="32"/>
          <w:szCs w:val="32"/>
        </w:rPr>
        <w:t>处于筑基协同阶段，实现了部分跨部门、跨业务环节的信息化管理和集成；</w:t>
      </w:r>
      <w:r>
        <w:rPr>
          <w:rFonts w:ascii="仿宋_GB2312" w:eastAsia="仿宋_GB2312" w:hAnsi="仿宋_GB2312" w:cs="仿宋_GB2312" w:hint="eastAsia"/>
          <w:b w:val="0"/>
          <w:bCs w:val="0"/>
          <w:snapToGrid w:val="0"/>
          <w:sz w:val="32"/>
          <w:szCs w:val="32"/>
        </w:rPr>
        <w:t>45.38%的企业</w:t>
      </w:r>
      <w:r>
        <w:rPr>
          <w:rFonts w:ascii="仿宋_GB2312" w:eastAsia="仿宋_GB2312" w:hAnsi="仿宋_GB2312" w:cs="仿宋_GB2312" w:hint="eastAsia"/>
          <w:b w:val="0"/>
          <w:bCs w:val="0"/>
          <w:snapToGrid w:val="0"/>
          <w:sz w:val="32"/>
          <w:szCs w:val="32"/>
        </w:rPr>
        <w:t>处于单点起步阶段，在单部门或单环节单点开展了简单信息技术应用</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集成提升企业、筑基协同企业是深度转型提升的主要任务对象，单点起步企业是普及转型提升的主要目标群体。</w:t>
      </w:r>
    </w:p>
    <w:p>
      <w:pPr>
        <w:spacing w:line="240" w:lineRule="auto"/>
        <w:ind w:firstLine="311" w:firstLineChars="148"/>
        <w:rPr>
          <w:rFonts w:ascii="宋体" w:eastAsia="黑体" w:hAnsi="宋体"/>
          <w:b w:val="0"/>
          <w:bCs w:val="0"/>
          <w:snapToGrid w:val="0"/>
          <w:sz w:val="32"/>
          <w:szCs w:val="32"/>
        </w:rPr>
      </w:pPr>
      <w:r>
        <w:rPr>
          <w:rFonts w:ascii="宋体" w:eastAsia="黑体" w:hAnsi="宋体" w:hint="eastAsia"/>
          <w:b w:val="0"/>
          <w:bCs w:val="0"/>
          <w:snapToGrid w:val="0"/>
          <w:sz w:val="32"/>
          <w:szCs w:val="32"/>
        </w:rPr>
        <w:t>二、总体要求</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按照</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行业出题、平台答题、供需协同</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的指导方针，以工业互联网为抓手，分级分类分业施策，普及提升两手抓，推动需求侧、供给侧与支撑侧共同发力，全面推进制造业数字化转型升级。到</w:t>
      </w:r>
      <w:r>
        <w:rPr>
          <w:rFonts w:ascii="仿宋_GB2312" w:eastAsia="仿宋_GB2312" w:hAnsi="仿宋_GB2312" w:cs="仿宋_GB2312" w:hint="eastAsia"/>
          <w:b w:val="0"/>
          <w:bCs w:val="0"/>
          <w:snapToGrid w:val="0"/>
          <w:sz w:val="32"/>
          <w:szCs w:val="32"/>
        </w:rPr>
        <w:t>2024年</w:t>
      </w:r>
      <w:r>
        <w:rPr>
          <w:rFonts w:ascii="仿宋_GB2312" w:eastAsia="仿宋_GB2312" w:hAnsi="仿宋_GB2312" w:cs="仿宋_GB2312" w:hint="eastAsia"/>
          <w:b w:val="0"/>
          <w:bCs w:val="0"/>
          <w:snapToGrid w:val="0"/>
          <w:sz w:val="32"/>
          <w:szCs w:val="32"/>
        </w:rPr>
        <w:t>底</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实现全区</w:t>
      </w:r>
      <w:r>
        <w:rPr>
          <w:rFonts w:ascii="仿宋_GB2312" w:eastAsia="仿宋_GB2312" w:hAnsi="仿宋_GB2312" w:cs="仿宋_GB2312" w:hint="eastAsia"/>
          <w:b w:val="0"/>
          <w:bCs w:val="0"/>
          <w:snapToGrid w:val="0"/>
          <w:sz w:val="32"/>
          <w:szCs w:val="32"/>
        </w:rPr>
        <w:t>规模以上制造业企业数字化诊断全覆盖</w:t>
      </w:r>
      <w:r>
        <w:rPr>
          <w:rFonts w:ascii="仿宋_GB2312" w:eastAsia="仿宋_GB2312" w:hAnsi="仿宋_GB2312" w:cs="仿宋_GB2312" w:hint="eastAsia"/>
          <w:b w:val="0"/>
          <w:bCs w:val="0"/>
          <w:snapToGrid w:val="0"/>
          <w:sz w:val="32"/>
          <w:szCs w:val="32"/>
        </w:rPr>
        <w:t>；到</w:t>
      </w:r>
      <w:r>
        <w:rPr>
          <w:rFonts w:ascii="仿宋_GB2312" w:eastAsia="仿宋_GB2312" w:hAnsi="仿宋_GB2312" w:cs="仿宋_GB2312" w:hint="eastAsia"/>
          <w:b w:val="0"/>
          <w:bCs w:val="0"/>
          <w:snapToGrid w:val="0"/>
          <w:sz w:val="32"/>
          <w:szCs w:val="32"/>
        </w:rPr>
        <w:t>2026年</w:t>
      </w:r>
      <w:r>
        <w:rPr>
          <w:rFonts w:ascii="仿宋_GB2312" w:eastAsia="仿宋_GB2312" w:hAnsi="仿宋_GB2312" w:cs="仿宋_GB2312" w:hint="eastAsia"/>
          <w:b w:val="0"/>
          <w:bCs w:val="0"/>
          <w:snapToGrid w:val="0"/>
          <w:sz w:val="32"/>
          <w:szCs w:val="32"/>
        </w:rPr>
        <w:t>底</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全区规模以上制造业企业</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愿转尽转、能转尽转</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，数字化改造全覆盖。其中，创新引领</w:t>
      </w:r>
      <w:r>
        <w:rPr>
          <w:rFonts w:ascii="仿宋_GB2312" w:eastAsia="仿宋_GB2312" w:hAnsi="仿宋_GB2312" w:cs="仿宋_GB2312" w:hint="eastAsia"/>
          <w:b w:val="0"/>
          <w:bCs w:val="0"/>
          <w:snapToGrid w:val="0"/>
          <w:sz w:val="32"/>
          <w:szCs w:val="32"/>
        </w:rPr>
        <w:t>企业</w:t>
      </w:r>
      <w:r>
        <w:rPr>
          <w:rFonts w:ascii="仿宋_GB2312" w:eastAsia="仿宋_GB2312" w:hAnsi="仿宋_GB2312" w:cs="仿宋_GB2312" w:hint="eastAsia"/>
          <w:b w:val="0"/>
          <w:bCs w:val="0"/>
          <w:snapToGrid w:val="0"/>
          <w:sz w:val="32"/>
          <w:szCs w:val="32"/>
        </w:rPr>
        <w:t>占</w:t>
      </w:r>
      <w:r>
        <w:rPr>
          <w:rFonts w:ascii="仿宋_GB2312" w:eastAsia="仿宋_GB2312" w:hAnsi="仿宋_GB2312" w:cs="仿宋_GB2312" w:hint="eastAsia"/>
          <w:b w:val="0"/>
          <w:bCs w:val="0"/>
          <w:snapToGrid w:val="0"/>
          <w:sz w:val="32"/>
          <w:szCs w:val="32"/>
        </w:rPr>
        <w:t>15%</w:t>
      </w:r>
      <w:r>
        <w:rPr>
          <w:rFonts w:ascii="仿宋_GB2312" w:eastAsia="仿宋_GB2312" w:hAnsi="仿宋_GB2312" w:cs="仿宋_GB2312" w:hint="eastAsia"/>
          <w:b w:val="0"/>
          <w:bCs w:val="0"/>
          <w:snapToGrid w:val="0"/>
          <w:sz w:val="32"/>
          <w:szCs w:val="32"/>
        </w:rPr>
        <w:t>以上</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业务集成企业占</w:t>
      </w:r>
      <w:r>
        <w:rPr>
          <w:rFonts w:ascii="仿宋_GB2312" w:eastAsia="仿宋_GB2312" w:hAnsi="仿宋_GB2312" w:cs="仿宋_GB2312" w:hint="eastAsia"/>
          <w:b w:val="0"/>
          <w:bCs w:val="0"/>
          <w:snapToGrid w:val="0"/>
          <w:sz w:val="32"/>
          <w:szCs w:val="32"/>
        </w:rPr>
        <w:t>45%以上；</w:t>
      </w:r>
      <w:r>
        <w:rPr>
          <w:rFonts w:ascii="仿宋_GB2312" w:eastAsia="仿宋_GB2312" w:hAnsi="仿宋_GB2312" w:cs="仿宋_GB2312" w:hint="eastAsia"/>
          <w:b w:val="0"/>
          <w:bCs w:val="0"/>
          <w:snapToGrid w:val="0"/>
          <w:sz w:val="32"/>
          <w:szCs w:val="32"/>
        </w:rPr>
        <w:t>筑基协同企业占</w:t>
      </w:r>
      <w:r>
        <w:rPr>
          <w:rFonts w:ascii="仿宋_GB2312" w:eastAsia="仿宋_GB2312" w:hAnsi="仿宋_GB2312" w:cs="仿宋_GB2312" w:hint="eastAsia"/>
          <w:b w:val="0"/>
          <w:bCs w:val="0"/>
          <w:snapToGrid w:val="0"/>
          <w:sz w:val="32"/>
          <w:szCs w:val="32"/>
        </w:rPr>
        <w:t>30%</w:t>
      </w:r>
      <w:r>
        <w:rPr>
          <w:rFonts w:ascii="仿宋_GB2312" w:eastAsia="仿宋_GB2312" w:hAnsi="仿宋_GB2312" w:cs="仿宋_GB2312" w:hint="eastAsia"/>
          <w:b w:val="0"/>
          <w:bCs w:val="0"/>
          <w:snapToGrid w:val="0"/>
          <w:sz w:val="32"/>
          <w:szCs w:val="32"/>
        </w:rPr>
        <w:t>以上，单点起步企业低于1</w:t>
      </w:r>
      <w:r>
        <w:rPr>
          <w:rFonts w:ascii="仿宋_GB2312" w:eastAsia="仿宋_GB2312" w:hAnsi="仿宋_GB2312" w:cs="仿宋_GB2312" w:hint="eastAsia"/>
          <w:b w:val="0"/>
          <w:bCs w:val="0"/>
          <w:snapToGrid w:val="0"/>
          <w:sz w:val="32"/>
          <w:szCs w:val="32"/>
        </w:rPr>
        <w:t>0%</w:t>
      </w:r>
      <w:r>
        <w:rPr>
          <w:rFonts w:ascii="仿宋_GB2312" w:eastAsia="仿宋_GB2312" w:hAnsi="仿宋_GB2312" w:cs="仿宋_GB2312" w:hint="eastAsia"/>
          <w:b w:val="0"/>
          <w:bCs w:val="0"/>
          <w:snapToGrid w:val="0"/>
          <w:sz w:val="32"/>
          <w:szCs w:val="32"/>
        </w:rPr>
        <w:t>，实施</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智改数转</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的制造业企业在降本增效等方面成果显著。</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聚焦</w:t>
      </w:r>
      <w:r>
        <w:rPr>
          <w:rFonts w:ascii="仿宋_GB2312" w:eastAsia="仿宋_GB2312" w:hAnsi="仿宋_GB2312" w:cs="仿宋_GB2312" w:hint="eastAsia"/>
          <w:b w:val="0"/>
          <w:bCs w:val="0"/>
          <w:snapToGrid w:val="0"/>
          <w:sz w:val="32"/>
          <w:szCs w:val="32"/>
        </w:rPr>
        <w:t>广西</w:t>
      </w:r>
      <w:r>
        <w:rPr>
          <w:rFonts w:ascii="仿宋_GB2312" w:eastAsia="仿宋_GB2312" w:hAnsi="仿宋_GB2312" w:cs="仿宋_GB2312" w:hint="eastAsia"/>
          <w:b w:val="0"/>
          <w:bCs w:val="0"/>
          <w:snapToGrid w:val="0"/>
          <w:sz w:val="32"/>
          <w:szCs w:val="32"/>
        </w:rPr>
        <w:t>重点产业，</w:t>
      </w:r>
      <w:r>
        <w:rPr>
          <w:rFonts w:ascii="仿宋_GB2312" w:eastAsia="仿宋_GB2312" w:hAnsi="仿宋_GB2312" w:cs="仿宋_GB2312" w:hint="eastAsia"/>
          <w:b w:val="0"/>
          <w:bCs w:val="0"/>
          <w:snapToGrid w:val="0"/>
          <w:sz w:val="32"/>
          <w:szCs w:val="32"/>
        </w:rPr>
        <w:t>深化应用广西工业互联网赋能制造业数字化转型路线图，按照</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一套标准体系、三侧协同发力、四维一体推动、五步实施落地</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的路径全方位、多维度、一体化推进工业企业数字化转型普及跃升。</w:t>
      </w:r>
      <w:r>
        <w:rPr>
          <w:rFonts w:ascii="仿宋_GB2312" w:eastAsia="仿宋_GB2312" w:hAnsi="仿宋_GB2312" w:cs="仿宋_GB2312" w:hint="eastAsia"/>
          <w:b w:val="0"/>
          <w:bCs w:val="0"/>
          <w:snapToGrid w:val="0"/>
          <w:sz w:val="32"/>
          <w:szCs w:val="32"/>
        </w:rPr>
        <w:t>推动</w:t>
      </w:r>
      <w:r>
        <w:rPr>
          <w:rFonts w:ascii="仿宋_GB2312" w:eastAsia="仿宋_GB2312" w:hAnsi="仿宋_GB2312" w:cs="仿宋_GB2312" w:hint="eastAsia"/>
          <w:b w:val="0"/>
          <w:bCs w:val="0"/>
          <w:snapToGrid w:val="0"/>
          <w:sz w:val="32"/>
          <w:szCs w:val="32"/>
        </w:rPr>
        <w:t>产业集群、</w:t>
      </w:r>
      <w:r>
        <w:rPr>
          <w:rFonts w:ascii="仿宋_GB2312" w:eastAsia="仿宋_GB2312" w:hAnsi="仿宋_GB2312" w:cs="仿宋_GB2312" w:hint="eastAsia"/>
          <w:b w:val="0"/>
          <w:bCs w:val="0"/>
          <w:snapToGrid w:val="0"/>
          <w:sz w:val="32"/>
          <w:szCs w:val="32"/>
        </w:rPr>
        <w:t>产业链</w:t>
      </w:r>
      <w:r>
        <w:rPr>
          <w:rFonts w:ascii="仿宋_GB2312" w:eastAsia="仿宋_GB2312" w:hAnsi="仿宋_GB2312" w:cs="仿宋_GB2312" w:hint="eastAsia"/>
          <w:b w:val="0"/>
          <w:bCs w:val="0"/>
          <w:snapToGrid w:val="0"/>
          <w:sz w:val="32"/>
          <w:szCs w:val="32"/>
        </w:rPr>
        <w:t>、园区</w:t>
      </w:r>
      <w:r>
        <w:rPr>
          <w:rFonts w:ascii="仿宋_GB2312" w:eastAsia="仿宋_GB2312" w:hAnsi="仿宋_GB2312" w:cs="仿宋_GB2312" w:hint="eastAsia"/>
          <w:b w:val="0"/>
          <w:bCs w:val="0"/>
          <w:snapToGrid w:val="0"/>
          <w:sz w:val="32"/>
          <w:szCs w:val="32"/>
        </w:rPr>
        <w:t>数字化升级改造</w:t>
      </w:r>
      <w:r>
        <w:rPr>
          <w:rFonts w:ascii="仿宋_GB2312" w:eastAsia="仿宋_GB2312" w:hAnsi="仿宋_GB2312" w:cs="仿宋_GB2312" w:hint="eastAsia"/>
          <w:b w:val="0"/>
          <w:bCs w:val="0"/>
          <w:snapToGrid w:val="0"/>
          <w:sz w:val="32"/>
          <w:szCs w:val="32"/>
        </w:rPr>
        <w:t>横向到边，纵向到底，</w:t>
      </w:r>
      <w:r>
        <w:rPr>
          <w:rFonts w:ascii="仿宋_GB2312" w:eastAsia="仿宋_GB2312" w:hAnsi="仿宋_GB2312" w:cs="仿宋_GB2312" w:hint="eastAsia"/>
          <w:b w:val="0"/>
          <w:bCs w:val="0"/>
          <w:snapToGrid w:val="0"/>
          <w:sz w:val="32"/>
          <w:szCs w:val="32"/>
        </w:rPr>
        <w:t>加大优秀服务商培育和典型案例推广应用力度</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夯实工业互联网平台、智能硬件和装备、网络设施及安全等基础支撑，</w:t>
      </w:r>
      <w:r>
        <w:rPr>
          <w:rFonts w:ascii="仿宋_GB2312" w:eastAsia="仿宋_GB2312" w:hAnsi="仿宋_GB2312" w:cs="仿宋_GB2312" w:hint="eastAsia"/>
          <w:b w:val="0"/>
          <w:bCs w:val="0"/>
          <w:snapToGrid w:val="0"/>
          <w:sz w:val="32"/>
          <w:szCs w:val="32"/>
        </w:rPr>
        <w:t>推动新型工业化高质量发展。</w:t>
      </w:r>
    </w:p>
    <w:p>
      <w:pPr>
        <w:spacing w:line="240" w:lineRule="auto"/>
        <w:ind w:firstLine="311" w:firstLineChars="148"/>
        <w:rPr>
          <w:rFonts w:ascii="黑体" w:eastAsia="黑体" w:hAnsi="黑体"/>
          <w:b w:val="0"/>
          <w:bCs w:val="0"/>
          <w:snapToGrid w:val="0"/>
          <w:sz w:val="32"/>
          <w:szCs w:val="32"/>
        </w:rPr>
      </w:pPr>
      <w:r>
        <w:rPr>
          <w:rFonts w:ascii="黑体" w:eastAsia="黑体" w:hAnsi="黑体" w:hint="eastAsia"/>
          <w:b w:val="0"/>
          <w:bCs w:val="0"/>
          <w:snapToGrid w:val="0"/>
          <w:sz w:val="32"/>
          <w:szCs w:val="32"/>
        </w:rPr>
        <w:t>三、主要任务</w:t>
      </w:r>
    </w:p>
    <w:p>
      <w:pPr>
        <w:spacing w:line="240" w:lineRule="auto"/>
        <w:ind w:firstLine="311" w:firstLineChars="148"/>
        <w:rPr>
          <w:rFonts w:ascii="宋体" w:eastAsia="楷体" w:hAnsi="宋体"/>
          <w:b w:val="0"/>
          <w:bCs w:val="0"/>
          <w:snapToGrid w:val="0"/>
          <w:sz w:val="32"/>
          <w:szCs w:val="32"/>
        </w:rPr>
      </w:pPr>
      <w:r>
        <w:rPr>
          <w:rFonts w:ascii="宋体" w:eastAsia="楷体" w:hAnsi="宋体" w:hint="eastAsia"/>
          <w:b w:val="0"/>
          <w:bCs w:val="0"/>
          <w:snapToGrid w:val="0"/>
          <w:sz w:val="32"/>
          <w:szCs w:val="32"/>
        </w:rPr>
        <w:t>（一）融合一套数字化转型评估标准体系。</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1</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融合国家数字化转型成熟度贯标标准、两化融合管理体系、智能制造能力成熟度评估、中小企业数字化水平评测指标、数据管理能力成熟度评估等，形成广西工业企业数字化转型评估标准体系。面向规上工业企业开展线上线下评估诊断全覆盖，</w:t>
      </w:r>
      <w:r>
        <w:rPr>
          <w:rFonts w:ascii="仿宋_GB2312" w:eastAsia="仿宋_GB2312" w:hAnsi="仿宋_GB2312" w:cs="仿宋_GB2312" w:hint="eastAsia"/>
          <w:b w:val="0"/>
          <w:bCs w:val="0"/>
          <w:snapToGrid w:val="0"/>
          <w:sz w:val="32"/>
          <w:szCs w:val="32"/>
        </w:rPr>
        <w:t>帮助企业和</w:t>
      </w:r>
      <w:r>
        <w:rPr>
          <w:rFonts w:ascii="仿宋_GB2312" w:eastAsia="仿宋_GB2312" w:hAnsi="仿宋_GB2312" w:cs="仿宋_GB2312" w:hint="eastAsia"/>
          <w:b w:val="0"/>
          <w:bCs w:val="0"/>
          <w:snapToGrid w:val="0"/>
          <w:sz w:val="32"/>
          <w:szCs w:val="32"/>
        </w:rPr>
        <w:t>政府</w:t>
      </w:r>
      <w:r>
        <w:rPr>
          <w:rFonts w:ascii="仿宋_GB2312" w:eastAsia="仿宋_GB2312" w:hAnsi="仿宋_GB2312" w:cs="仿宋_GB2312" w:hint="eastAsia"/>
          <w:b w:val="0"/>
          <w:bCs w:val="0"/>
          <w:snapToGrid w:val="0"/>
          <w:sz w:val="32"/>
          <w:szCs w:val="32"/>
        </w:rPr>
        <w:t>了解所处发展阶段和区域发展水平</w:t>
      </w:r>
      <w:r>
        <w:rPr>
          <w:rFonts w:ascii="仿宋_GB2312" w:eastAsia="仿宋_GB2312" w:hAnsi="仿宋_GB2312" w:cs="仿宋_GB2312" w:hint="eastAsia"/>
          <w:b w:val="0"/>
          <w:bCs w:val="0"/>
          <w:snapToGrid w:val="0"/>
          <w:sz w:val="32"/>
          <w:szCs w:val="32"/>
        </w:rPr>
        <w:t>，为数字化转型提供数据支撑。</w:t>
      </w:r>
    </w:p>
    <w:p>
      <w:pPr>
        <w:spacing w:line="240" w:lineRule="auto"/>
        <w:ind w:firstLine="311" w:firstLineChars="148"/>
        <w:rPr>
          <w:rFonts w:ascii="宋体" w:eastAsia="楷体" w:hAnsi="宋体"/>
          <w:b w:val="0"/>
          <w:bCs w:val="0"/>
          <w:snapToGrid w:val="0"/>
          <w:sz w:val="32"/>
          <w:szCs w:val="32"/>
        </w:rPr>
      </w:pPr>
      <w:r>
        <w:rPr>
          <w:rFonts w:ascii="宋体" w:eastAsia="楷体" w:hAnsi="宋体" w:hint="eastAsia"/>
          <w:b w:val="0"/>
          <w:bCs w:val="0"/>
          <w:snapToGrid w:val="0"/>
          <w:sz w:val="32"/>
          <w:szCs w:val="32"/>
        </w:rPr>
        <w:t>（二）推动需求侧、供给侧、支撑侧三方协同发力。</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2.</w:t>
      </w:r>
      <w:r>
        <w:rPr>
          <w:rFonts w:ascii="仿宋_GB2312" w:eastAsia="仿宋_GB2312" w:hAnsi="仿宋_GB2312" w:cs="仿宋_GB2312" w:hint="eastAsia"/>
          <w:b w:val="0"/>
          <w:bCs w:val="0"/>
          <w:snapToGrid w:val="0"/>
          <w:sz w:val="32"/>
          <w:szCs w:val="32"/>
        </w:rPr>
        <w:t>以需求为导向，持续通过</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百场路演</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现场会</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等方式加强宣传，进一步精准对接不同行业企业的差异化需求。组织参观学习数字化转型示范标杆，</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看样学样</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，让</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缺动力</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的企业看到收益和成效，数字化转型由</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外部推力</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转化为</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内生动力</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；让</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缺方法</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的企业了解转型的路径方法，参考成熟可行的数字化转型解决方案。</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3.</w:t>
      </w:r>
      <w:r>
        <w:rPr>
          <w:rFonts w:ascii="仿宋_GB2312" w:eastAsia="仿宋_GB2312" w:hAnsi="仿宋_GB2312" w:cs="仿宋_GB2312" w:hint="eastAsia"/>
          <w:b w:val="0"/>
          <w:bCs w:val="0"/>
          <w:snapToGrid w:val="0"/>
          <w:sz w:val="32"/>
          <w:szCs w:val="32"/>
        </w:rPr>
        <w:t>强化供给，不断</w:t>
      </w:r>
      <w:r>
        <w:rPr>
          <w:rFonts w:ascii="仿宋_GB2312" w:eastAsia="仿宋_GB2312" w:hAnsi="仿宋_GB2312" w:cs="仿宋_GB2312" w:hint="eastAsia"/>
          <w:b w:val="0"/>
          <w:bCs w:val="0"/>
          <w:snapToGrid w:val="0"/>
          <w:sz w:val="32"/>
          <w:szCs w:val="32"/>
        </w:rPr>
        <w:t>完善广西工业互联网暨制造业数字化转型产业生态供给资源池，</w:t>
      </w:r>
      <w:r>
        <w:rPr>
          <w:rFonts w:ascii="仿宋_GB2312" w:eastAsia="仿宋_GB2312" w:hAnsi="仿宋_GB2312" w:cs="仿宋_GB2312" w:hint="eastAsia"/>
          <w:b w:val="0"/>
          <w:bCs w:val="0"/>
          <w:snapToGrid w:val="0"/>
          <w:sz w:val="32"/>
          <w:szCs w:val="32"/>
        </w:rPr>
        <w:t>持续引进</w:t>
      </w:r>
      <w:r>
        <w:rPr>
          <w:rFonts w:ascii="仿宋_GB2312" w:eastAsia="仿宋_GB2312" w:hAnsi="仿宋_GB2312" w:cs="仿宋_GB2312" w:hint="eastAsia"/>
          <w:b w:val="0"/>
          <w:bCs w:val="0"/>
          <w:snapToGrid w:val="0"/>
          <w:sz w:val="32"/>
          <w:szCs w:val="32"/>
        </w:rPr>
        <w:t>创新能力强、服务水平高的</w:t>
      </w:r>
      <w:r>
        <w:rPr>
          <w:rFonts w:ascii="仿宋_GB2312" w:eastAsia="仿宋_GB2312" w:hAnsi="仿宋_GB2312" w:cs="仿宋_GB2312" w:hint="eastAsia"/>
          <w:b w:val="0"/>
          <w:bCs w:val="0"/>
          <w:snapToGrid w:val="0"/>
          <w:sz w:val="32"/>
          <w:szCs w:val="32"/>
        </w:rPr>
        <w:t>服务商</w:t>
      </w:r>
      <w:r>
        <w:rPr>
          <w:rFonts w:ascii="仿宋_GB2312" w:eastAsia="仿宋_GB2312" w:hAnsi="仿宋_GB2312" w:cs="仿宋_GB2312" w:hint="eastAsia"/>
          <w:b w:val="0"/>
          <w:bCs w:val="0"/>
          <w:snapToGrid w:val="0"/>
          <w:sz w:val="32"/>
          <w:szCs w:val="32"/>
        </w:rPr>
        <w:t>，为制造业提供数据采集、系统集成、安全防护等各类解决方案及咨询诊断等专业服务，提升工业互联网创新能力。</w:t>
      </w:r>
      <w:r>
        <w:rPr>
          <w:rFonts w:ascii="仿宋_GB2312" w:eastAsia="仿宋_GB2312" w:hAnsi="仿宋_GB2312" w:cs="仿宋_GB2312" w:hint="eastAsia"/>
          <w:b w:val="0"/>
          <w:bCs w:val="0"/>
          <w:snapToGrid w:val="0"/>
          <w:sz w:val="32"/>
          <w:szCs w:val="32"/>
        </w:rPr>
        <w:t>鼓励数字化转型服务商为中小企业提供低成本、快部署、易运维的数字化解决方案。</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4.</w:t>
      </w:r>
      <w:r>
        <w:rPr>
          <w:rFonts w:ascii="仿宋_GB2312" w:eastAsia="仿宋_GB2312" w:hAnsi="仿宋_GB2312" w:cs="仿宋_GB2312" w:hint="eastAsia"/>
          <w:b w:val="0"/>
          <w:bCs w:val="0"/>
          <w:snapToGrid w:val="0"/>
          <w:sz w:val="32"/>
          <w:szCs w:val="32"/>
        </w:rPr>
        <w:t>提升基础支撑能力，持续推进</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双千兆</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网络协同发展，推动</w:t>
      </w:r>
      <w:r>
        <w:rPr>
          <w:rFonts w:ascii="仿宋_GB2312" w:eastAsia="仿宋_GB2312" w:hAnsi="仿宋_GB2312" w:cs="仿宋_GB2312" w:hint="eastAsia"/>
          <w:b w:val="0"/>
          <w:bCs w:val="0"/>
          <w:snapToGrid w:val="0"/>
          <w:sz w:val="32"/>
          <w:szCs w:val="32"/>
        </w:rPr>
        <w:t>IPv6规模</w:t>
      </w:r>
      <w:r>
        <w:rPr>
          <w:rFonts w:ascii="仿宋_GB2312" w:eastAsia="仿宋_GB2312" w:hAnsi="仿宋_GB2312" w:cs="仿宋_GB2312" w:hint="eastAsia"/>
          <w:b w:val="0"/>
          <w:bCs w:val="0"/>
          <w:snapToGrid w:val="0"/>
          <w:sz w:val="32"/>
          <w:szCs w:val="32"/>
        </w:rPr>
        <w:t>化</w:t>
      </w:r>
      <w:r>
        <w:rPr>
          <w:rFonts w:ascii="仿宋_GB2312" w:eastAsia="仿宋_GB2312" w:hAnsi="仿宋_GB2312" w:cs="仿宋_GB2312" w:hint="eastAsia"/>
          <w:b w:val="0"/>
          <w:bCs w:val="0"/>
          <w:snapToGrid w:val="0"/>
          <w:sz w:val="32"/>
          <w:szCs w:val="32"/>
        </w:rPr>
        <w:t>部署，</w:t>
      </w:r>
      <w:r>
        <w:rPr>
          <w:rFonts w:ascii="仿宋_GB2312" w:eastAsia="仿宋_GB2312" w:hAnsi="仿宋_GB2312" w:cs="仿宋_GB2312" w:hint="eastAsia"/>
          <w:b w:val="0"/>
          <w:bCs w:val="0"/>
          <w:snapToGrid w:val="0"/>
          <w:sz w:val="32"/>
          <w:szCs w:val="32"/>
        </w:rPr>
        <w:t>高质量建设人工智能计算中心和</w:t>
      </w:r>
      <w:r>
        <w:rPr>
          <w:rFonts w:ascii="仿宋_GB2312" w:eastAsia="仿宋_GB2312" w:hAnsi="仿宋_GB2312" w:cs="仿宋_GB2312" w:hint="eastAsia"/>
          <w:b w:val="0"/>
          <w:bCs w:val="0"/>
          <w:snapToGrid w:val="0"/>
          <w:sz w:val="32"/>
          <w:szCs w:val="32"/>
        </w:rPr>
        <w:t>5G网</w:t>
      </w:r>
      <w:r>
        <w:rPr>
          <w:rFonts w:ascii="仿宋_GB2312" w:eastAsia="仿宋_GB2312" w:hAnsi="仿宋_GB2312" w:cs="仿宋_GB2312" w:hint="eastAsia"/>
          <w:b w:val="0"/>
          <w:bCs w:val="0"/>
          <w:snapToGrid w:val="0"/>
          <w:sz w:val="32"/>
          <w:szCs w:val="32"/>
        </w:rPr>
        <w:t>络、数据中心等基础设施，积极推动工业互联网标识解析体系及</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星火</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链网</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体系建设和应用推广工作</w:t>
      </w:r>
      <w:r>
        <w:rPr>
          <w:rFonts w:ascii="仿宋_GB2312" w:eastAsia="仿宋_GB2312" w:hAnsi="仿宋_GB2312" w:cs="仿宋_GB2312" w:hint="eastAsia"/>
          <w:b w:val="0"/>
          <w:bCs w:val="0"/>
          <w:snapToGrid w:val="0"/>
          <w:sz w:val="32"/>
          <w:szCs w:val="32"/>
        </w:rPr>
        <w:t>，立足制造业数字化转型需求，不断夯实数字基础底座，满足制造业数字化转型对算力、运力、存储力等软硬件基础设施的需求。</w:t>
      </w:r>
    </w:p>
    <w:p>
      <w:pPr>
        <w:spacing w:line="240" w:lineRule="auto"/>
        <w:ind w:firstLine="311" w:firstLineChars="148"/>
        <w:rPr>
          <w:rFonts w:ascii="宋体" w:eastAsia="楷体" w:hAnsi="宋体" w:cs="Times New Roman"/>
          <w:b w:val="0"/>
          <w:bCs w:val="0"/>
          <w:snapToGrid w:val="0"/>
          <w:sz w:val="32"/>
          <w:szCs w:val="32"/>
        </w:rPr>
      </w:pPr>
      <w:r>
        <w:rPr>
          <w:rFonts w:ascii="宋体" w:eastAsia="楷体" w:hAnsi="宋体" w:cs="Times New Roman" w:hint="eastAsia"/>
          <w:b w:val="0"/>
          <w:bCs w:val="0"/>
          <w:snapToGrid w:val="0"/>
          <w:sz w:val="32"/>
          <w:szCs w:val="32"/>
        </w:rPr>
        <w:t>（三）坚持</w:t>
      </w:r>
      <w:r>
        <w:rPr>
          <w:rFonts w:ascii="宋体" w:eastAsia="楷体" w:hAnsi="宋体" w:cs="Times New Roman" w:hint="eastAsia"/>
          <w:b w:val="0"/>
          <w:bCs w:val="0"/>
          <w:snapToGrid w:val="0"/>
          <w:sz w:val="32"/>
          <w:szCs w:val="32"/>
        </w:rPr>
        <w:t>“</w:t>
      </w:r>
      <w:r>
        <w:rPr>
          <w:rFonts w:ascii="宋体" w:eastAsia="楷体" w:hAnsi="宋体" w:cs="Times New Roman" w:hint="eastAsia"/>
          <w:b w:val="0"/>
          <w:bCs w:val="0"/>
          <w:snapToGrid w:val="0"/>
          <w:sz w:val="32"/>
          <w:szCs w:val="32"/>
        </w:rPr>
        <w:t>点、线、面、体</w:t>
      </w:r>
      <w:r>
        <w:rPr>
          <w:rFonts w:ascii="宋体" w:eastAsia="楷体" w:hAnsi="宋体" w:cs="Times New Roman" w:hint="eastAsia"/>
          <w:b w:val="0"/>
          <w:bCs w:val="0"/>
          <w:snapToGrid w:val="0"/>
          <w:sz w:val="32"/>
          <w:szCs w:val="32"/>
        </w:rPr>
        <w:t>”</w:t>
      </w:r>
      <w:r>
        <w:rPr>
          <w:rFonts w:ascii="宋体" w:eastAsia="楷体" w:hAnsi="宋体" w:cs="Times New Roman" w:hint="eastAsia"/>
          <w:b w:val="0"/>
          <w:bCs w:val="0"/>
          <w:snapToGrid w:val="0"/>
          <w:sz w:val="32"/>
          <w:szCs w:val="32"/>
        </w:rPr>
        <w:t>四维一体推进。</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5</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支持企业数字化转型，鼓励优秀企业积极参与国家工业互联网试点示范项目、新一代信息技术与制造业融合发展试点示范项目、人工智能、</w:t>
      </w:r>
      <w:r>
        <w:rPr>
          <w:rFonts w:ascii="仿宋_GB2312" w:eastAsia="仿宋_GB2312" w:hAnsi="仿宋_GB2312" w:cs="仿宋_GB2312" w:hint="eastAsia"/>
          <w:b w:val="0"/>
          <w:bCs w:val="0"/>
          <w:snapToGrid w:val="0"/>
          <w:sz w:val="32"/>
          <w:szCs w:val="32"/>
        </w:rPr>
        <w:t>5G工厂</w:t>
      </w:r>
      <w:r>
        <w:rPr>
          <w:rFonts w:ascii="仿宋_GB2312" w:eastAsia="仿宋_GB2312" w:hAnsi="仿宋_GB2312" w:cs="仿宋_GB2312" w:hint="eastAsia"/>
          <w:b w:val="0"/>
          <w:bCs w:val="0"/>
          <w:snapToGrid w:val="0"/>
          <w:sz w:val="32"/>
          <w:szCs w:val="32"/>
        </w:rPr>
        <w:t>、智能制造、区块链等评选活动，打造标杆示范，组织企业学习有成效、可复制的数字化转型示范案例。支持企业根据自身发展阶段，梯度实施数字化转型。每年征集一批制造业细分领域的垂类示范应用及解决方案，形成100项典型应用案例集，进行宣传推广。</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6</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促进行业整体链式数字化转型，重点围绕糖业、汽车、机械、钢铁等优势产业，发挥项目的资金引导作用，支持产业集群链式转型。一方面引导大企业通过减费让利、免费试用等模式加快推广行业平台应用，另一方面引导产业链上下游企业加强与大企业合作，上平台用平台，加快推动大中小企业融通发展，提升产业链整体竞争力。</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7.</w:t>
      </w:r>
      <w:r>
        <w:rPr>
          <w:rFonts w:ascii="仿宋_GB2312" w:eastAsia="仿宋_GB2312" w:hAnsi="仿宋_GB2312" w:cs="仿宋_GB2312" w:hint="eastAsia"/>
          <w:b w:val="0"/>
          <w:bCs w:val="0"/>
          <w:snapToGrid w:val="0"/>
          <w:sz w:val="32"/>
          <w:szCs w:val="32"/>
        </w:rPr>
        <w:t>推动工业园区数字化升级，</w:t>
      </w:r>
      <w:r>
        <w:rPr>
          <w:rFonts w:ascii="仿宋_GB2312" w:eastAsia="仿宋_GB2312" w:hAnsi="仿宋_GB2312" w:cs="仿宋_GB2312" w:hint="eastAsia"/>
          <w:b w:val="0"/>
          <w:bCs w:val="0"/>
          <w:snapToGrid w:val="0"/>
          <w:sz w:val="32"/>
          <w:szCs w:val="32"/>
        </w:rPr>
        <w:t>分批有序推进</w:t>
      </w:r>
      <w:r>
        <w:rPr>
          <w:rFonts w:ascii="仿宋_GB2312" w:eastAsia="仿宋_GB2312" w:hAnsi="仿宋_GB2312" w:cs="仿宋_GB2312" w:hint="eastAsia"/>
          <w:b w:val="0"/>
          <w:bCs w:val="0"/>
          <w:snapToGrid w:val="0"/>
          <w:sz w:val="32"/>
          <w:szCs w:val="32"/>
        </w:rPr>
        <w:t>各市建设工业互联网示范园区，</w:t>
      </w:r>
      <w:r>
        <w:rPr>
          <w:rFonts w:ascii="仿宋_GB2312" w:eastAsia="仿宋_GB2312" w:hAnsi="仿宋_GB2312" w:cs="仿宋_GB2312" w:hint="eastAsia"/>
          <w:b w:val="0"/>
          <w:bCs w:val="0"/>
          <w:snapToGrid w:val="0"/>
          <w:sz w:val="32"/>
          <w:szCs w:val="32"/>
        </w:rPr>
        <w:t>引导和支持</w:t>
      </w:r>
      <w:r>
        <w:rPr>
          <w:rFonts w:ascii="仿宋_GB2312" w:eastAsia="仿宋_GB2312" w:hAnsi="仿宋_GB2312" w:cs="仿宋_GB2312" w:hint="eastAsia"/>
          <w:b w:val="0"/>
          <w:bCs w:val="0"/>
          <w:snapToGrid w:val="0"/>
          <w:sz w:val="32"/>
          <w:szCs w:val="32"/>
        </w:rPr>
        <w:t>工业园区</w:t>
      </w:r>
      <w:r>
        <w:rPr>
          <w:rFonts w:ascii="仿宋_GB2312" w:eastAsia="仿宋_GB2312" w:hAnsi="仿宋_GB2312" w:cs="仿宋_GB2312" w:hint="eastAsia"/>
          <w:b w:val="0"/>
          <w:bCs w:val="0"/>
          <w:snapToGrid w:val="0"/>
          <w:sz w:val="32"/>
          <w:szCs w:val="32"/>
        </w:rPr>
        <w:t>结合需要，</w:t>
      </w:r>
      <w:r>
        <w:rPr>
          <w:rFonts w:ascii="仿宋_GB2312" w:eastAsia="仿宋_GB2312" w:hAnsi="仿宋_GB2312" w:cs="仿宋_GB2312" w:hint="eastAsia"/>
          <w:b w:val="0"/>
          <w:bCs w:val="0"/>
          <w:snapToGrid w:val="0"/>
          <w:sz w:val="32"/>
          <w:szCs w:val="32"/>
        </w:rPr>
        <w:t>完善数字基础设施、</w:t>
      </w:r>
      <w:r>
        <w:rPr>
          <w:rFonts w:ascii="仿宋_GB2312" w:eastAsia="仿宋_GB2312" w:hAnsi="仿宋_GB2312" w:cs="仿宋_GB2312" w:hint="eastAsia"/>
          <w:b w:val="0"/>
          <w:bCs w:val="0"/>
          <w:snapToGrid w:val="0"/>
          <w:sz w:val="32"/>
          <w:szCs w:val="32"/>
        </w:rPr>
        <w:t>创新应用模式，基于数字技术开展</w:t>
      </w:r>
      <w:r>
        <w:rPr>
          <w:rFonts w:ascii="仿宋_GB2312" w:eastAsia="仿宋_GB2312" w:hAnsi="仿宋_GB2312" w:cs="仿宋_GB2312" w:hint="eastAsia"/>
          <w:b w:val="0"/>
          <w:bCs w:val="0"/>
          <w:snapToGrid w:val="0"/>
          <w:sz w:val="32"/>
          <w:szCs w:val="32"/>
        </w:rPr>
        <w:t>研发设计、协同制造、</w:t>
      </w:r>
      <w:r>
        <w:rPr>
          <w:rFonts w:ascii="仿宋_GB2312" w:eastAsia="仿宋_GB2312" w:hAnsi="仿宋_GB2312" w:cs="仿宋_GB2312" w:hint="eastAsia"/>
          <w:b w:val="0"/>
          <w:bCs w:val="0"/>
          <w:snapToGrid w:val="0"/>
          <w:sz w:val="32"/>
          <w:szCs w:val="32"/>
        </w:rPr>
        <w:t>安全生产、能源管理</w:t>
      </w:r>
      <w:r>
        <w:rPr>
          <w:rFonts w:ascii="仿宋_GB2312" w:eastAsia="仿宋_GB2312" w:hAnsi="仿宋_GB2312" w:cs="仿宋_GB2312" w:hint="eastAsia"/>
          <w:b w:val="0"/>
          <w:bCs w:val="0"/>
          <w:snapToGrid w:val="0"/>
          <w:sz w:val="32"/>
          <w:szCs w:val="32"/>
        </w:rPr>
        <w:t>、仓储物流</w:t>
      </w:r>
      <w:r>
        <w:rPr>
          <w:rFonts w:ascii="仿宋_GB2312" w:eastAsia="仿宋_GB2312" w:hAnsi="仿宋_GB2312" w:cs="仿宋_GB2312" w:hint="eastAsia"/>
          <w:b w:val="0"/>
          <w:bCs w:val="0"/>
          <w:snapToGrid w:val="0"/>
          <w:sz w:val="32"/>
          <w:szCs w:val="32"/>
        </w:rPr>
        <w:t>等</w:t>
      </w:r>
      <w:r>
        <w:rPr>
          <w:rFonts w:ascii="仿宋_GB2312" w:eastAsia="仿宋_GB2312" w:hAnsi="仿宋_GB2312" w:cs="仿宋_GB2312" w:hint="eastAsia"/>
          <w:b w:val="0"/>
          <w:bCs w:val="0"/>
          <w:snapToGrid w:val="0"/>
          <w:sz w:val="32"/>
          <w:szCs w:val="32"/>
        </w:rPr>
        <w:t>公共平台</w:t>
      </w:r>
      <w:r>
        <w:rPr>
          <w:rFonts w:ascii="仿宋_GB2312" w:eastAsia="仿宋_GB2312" w:hAnsi="仿宋_GB2312" w:cs="仿宋_GB2312" w:hint="eastAsia"/>
          <w:b w:val="0"/>
          <w:bCs w:val="0"/>
          <w:snapToGrid w:val="0"/>
          <w:sz w:val="32"/>
          <w:szCs w:val="32"/>
        </w:rPr>
        <w:t>，提升管理与</w:t>
      </w:r>
      <w:r>
        <w:rPr>
          <w:rFonts w:ascii="仿宋_GB2312" w:eastAsia="仿宋_GB2312" w:hAnsi="仿宋_GB2312" w:cs="仿宋_GB2312" w:hint="eastAsia"/>
          <w:b w:val="0"/>
          <w:bCs w:val="0"/>
          <w:snapToGrid w:val="0"/>
          <w:sz w:val="32"/>
          <w:szCs w:val="32"/>
        </w:rPr>
        <w:t>服务</w:t>
      </w:r>
      <w:r>
        <w:rPr>
          <w:rFonts w:ascii="仿宋_GB2312" w:eastAsia="仿宋_GB2312" w:hAnsi="仿宋_GB2312" w:cs="仿宋_GB2312" w:hint="eastAsia"/>
          <w:b w:val="0"/>
          <w:bCs w:val="0"/>
          <w:snapToGrid w:val="0"/>
          <w:sz w:val="32"/>
          <w:szCs w:val="32"/>
        </w:rPr>
        <w:t>水平。</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8</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加快</w:t>
      </w:r>
      <w:r>
        <w:rPr>
          <w:rFonts w:ascii="仿宋_GB2312" w:eastAsia="仿宋_GB2312" w:hAnsi="仿宋_GB2312" w:cs="仿宋_GB2312" w:hint="eastAsia"/>
          <w:b w:val="0"/>
          <w:bCs w:val="0"/>
          <w:snapToGrid w:val="0"/>
          <w:sz w:val="32"/>
          <w:szCs w:val="32"/>
        </w:rPr>
        <w:t>南宁市“中小企业数字化转型示范城市”</w:t>
      </w:r>
      <w:r>
        <w:rPr>
          <w:rFonts w:ascii="仿宋_GB2312" w:eastAsia="仿宋_GB2312" w:hAnsi="仿宋_GB2312" w:cs="仿宋_GB2312" w:hint="eastAsia"/>
          <w:b w:val="0"/>
          <w:bCs w:val="0"/>
          <w:snapToGrid w:val="0"/>
          <w:sz w:val="32"/>
          <w:szCs w:val="32"/>
        </w:rPr>
        <w:t>建设，支持有条件的市争创国家中小企业数字化转型试点城市。</w:t>
      </w:r>
      <w:r>
        <w:rPr>
          <w:rFonts w:ascii="仿宋_GB2312" w:eastAsia="仿宋_GB2312" w:hAnsi="仿宋_GB2312" w:cs="仿宋_GB2312" w:hint="eastAsia"/>
          <w:b w:val="0"/>
          <w:bCs w:val="0"/>
          <w:snapToGrid w:val="0"/>
          <w:sz w:val="32"/>
          <w:szCs w:val="32"/>
        </w:rPr>
        <w:t>总结提炼柳州市“工业互联网示范城市”经验，形成可复制可推广样板，加强经验宣传推广</w:t>
      </w:r>
      <w:r>
        <w:rPr>
          <w:rFonts w:ascii="仿宋_GB2312" w:eastAsia="仿宋_GB2312" w:hAnsi="仿宋_GB2312" w:cs="仿宋_GB2312" w:hint="eastAsia"/>
          <w:b w:val="0"/>
          <w:bCs w:val="0"/>
          <w:snapToGrid w:val="0"/>
          <w:sz w:val="32"/>
          <w:szCs w:val="32"/>
        </w:rPr>
        <w:t>。各市逐步</w:t>
      </w:r>
      <w:r>
        <w:rPr>
          <w:rFonts w:ascii="仿宋_GB2312" w:eastAsia="仿宋_GB2312" w:hAnsi="仿宋_GB2312" w:cs="仿宋_GB2312" w:hint="eastAsia"/>
          <w:b w:val="0"/>
          <w:bCs w:val="0"/>
          <w:snapToGrid w:val="0"/>
          <w:sz w:val="32"/>
          <w:szCs w:val="32"/>
        </w:rPr>
        <w:t>推动</w:t>
      </w:r>
      <w:r>
        <w:rPr>
          <w:rFonts w:ascii="仿宋_GB2312" w:eastAsia="仿宋_GB2312" w:hAnsi="仿宋_GB2312" w:cs="仿宋_GB2312" w:hint="eastAsia"/>
          <w:b w:val="0"/>
          <w:bCs w:val="0"/>
          <w:snapToGrid w:val="0"/>
          <w:sz w:val="32"/>
          <w:szCs w:val="32"/>
        </w:rPr>
        <w:t>所有规上工业</w:t>
      </w:r>
      <w:r>
        <w:rPr>
          <w:rFonts w:ascii="仿宋_GB2312" w:eastAsia="仿宋_GB2312" w:hAnsi="仿宋_GB2312" w:cs="仿宋_GB2312" w:hint="eastAsia"/>
          <w:b w:val="0"/>
          <w:bCs w:val="0"/>
          <w:snapToGrid w:val="0"/>
          <w:sz w:val="32"/>
          <w:szCs w:val="32"/>
        </w:rPr>
        <w:t>企业</w:t>
      </w:r>
      <w:r>
        <w:rPr>
          <w:rFonts w:ascii="仿宋_GB2312" w:eastAsia="仿宋_GB2312" w:hAnsi="仿宋_GB2312" w:cs="仿宋_GB2312" w:hint="eastAsia"/>
          <w:b w:val="0"/>
          <w:bCs w:val="0"/>
          <w:snapToGrid w:val="0"/>
          <w:sz w:val="32"/>
          <w:szCs w:val="32"/>
        </w:rPr>
        <w:t>实施</w:t>
      </w:r>
      <w:r>
        <w:rPr>
          <w:rFonts w:ascii="仿宋_GB2312" w:eastAsia="仿宋_GB2312" w:hAnsi="仿宋_GB2312" w:cs="仿宋_GB2312" w:hint="eastAsia"/>
          <w:b w:val="0"/>
          <w:bCs w:val="0"/>
          <w:snapToGrid w:val="0"/>
          <w:sz w:val="32"/>
          <w:szCs w:val="32"/>
        </w:rPr>
        <w:t>“智改数转网联”</w:t>
      </w:r>
      <w:r>
        <w:rPr>
          <w:rFonts w:ascii="仿宋_GB2312" w:eastAsia="仿宋_GB2312" w:hAnsi="仿宋_GB2312" w:cs="仿宋_GB2312" w:hint="eastAsia"/>
          <w:b w:val="0"/>
          <w:bCs w:val="0"/>
          <w:snapToGrid w:val="0"/>
          <w:sz w:val="32"/>
          <w:szCs w:val="32"/>
        </w:rPr>
        <w:t>，全面推进数字化转型示范城市建设</w:t>
      </w:r>
      <w:r>
        <w:rPr>
          <w:rFonts w:ascii="仿宋_GB2312" w:eastAsia="仿宋_GB2312" w:hAnsi="仿宋_GB2312" w:cs="仿宋_GB2312" w:hint="eastAsia"/>
          <w:b w:val="0"/>
          <w:bCs w:val="0"/>
          <w:snapToGrid w:val="0"/>
          <w:sz w:val="32"/>
          <w:szCs w:val="32"/>
        </w:rPr>
        <w:t>。</w:t>
      </w:r>
    </w:p>
    <w:p>
      <w:pPr>
        <w:spacing w:line="240" w:lineRule="auto"/>
        <w:ind w:firstLine="311" w:firstLineChars="148"/>
        <w:rPr>
          <w:rFonts w:ascii="宋体" w:eastAsia="楷体" w:hAnsi="宋体" w:cs="Times New Roman"/>
          <w:b w:val="0"/>
          <w:bCs w:val="0"/>
          <w:snapToGrid w:val="0"/>
          <w:sz w:val="32"/>
          <w:szCs w:val="32"/>
        </w:rPr>
      </w:pPr>
      <w:r>
        <w:rPr>
          <w:rFonts w:ascii="宋体" w:eastAsia="楷体" w:hAnsi="宋体" w:cs="Times New Roman" w:hint="eastAsia"/>
          <w:b w:val="0"/>
          <w:bCs w:val="0"/>
          <w:snapToGrid w:val="0"/>
          <w:sz w:val="32"/>
          <w:szCs w:val="32"/>
        </w:rPr>
        <w:t>（四）实施</w:t>
      </w:r>
      <w:r>
        <w:rPr>
          <w:rFonts w:ascii="宋体" w:eastAsia="楷体" w:hAnsi="宋体" w:cs="Times New Roman" w:hint="eastAsia"/>
          <w:b w:val="0"/>
          <w:bCs w:val="0"/>
          <w:snapToGrid w:val="0"/>
          <w:sz w:val="32"/>
          <w:szCs w:val="32"/>
        </w:rPr>
        <w:t>“</w:t>
      </w:r>
      <w:r>
        <w:rPr>
          <w:rFonts w:ascii="宋体" w:eastAsia="楷体" w:hAnsi="宋体" w:cs="Times New Roman" w:hint="eastAsia"/>
          <w:b w:val="0"/>
          <w:bCs w:val="0"/>
          <w:snapToGrid w:val="0"/>
          <w:sz w:val="32"/>
          <w:szCs w:val="32"/>
        </w:rPr>
        <w:t>摸底、诊断、示范、推广、评估</w:t>
      </w:r>
      <w:r>
        <w:rPr>
          <w:rFonts w:ascii="宋体" w:eastAsia="楷体" w:hAnsi="宋体" w:cs="Times New Roman" w:hint="eastAsia"/>
          <w:b w:val="0"/>
          <w:bCs w:val="0"/>
          <w:snapToGrid w:val="0"/>
          <w:sz w:val="32"/>
          <w:szCs w:val="32"/>
        </w:rPr>
        <w:t>”</w:t>
      </w:r>
      <w:r>
        <w:rPr>
          <w:rFonts w:ascii="宋体" w:eastAsia="楷体" w:hAnsi="宋体" w:cs="Times New Roman" w:hint="eastAsia"/>
          <w:b w:val="0"/>
          <w:bCs w:val="0"/>
          <w:snapToGrid w:val="0"/>
          <w:sz w:val="32"/>
          <w:szCs w:val="32"/>
        </w:rPr>
        <w:t>五步工作法。</w:t>
      </w:r>
    </w:p>
    <w:p>
      <w:pPr>
        <w:spacing w:line="240" w:lineRule="auto"/>
        <w:ind w:firstLine="311" w:firstLineChars="148"/>
        <w:rPr>
          <w:rFonts w:ascii="仿宋_GB2312" w:eastAsia="仿宋_GB2312" w:hAnsi="仿宋_GB2312" w:cs="仿宋_GB2312" w:hint="eastAsia"/>
          <w:b w:val="0"/>
          <w:bCs w:val="0"/>
          <w:snapToGrid w:val="0"/>
          <w:sz w:val="32"/>
          <w:szCs w:val="32"/>
        </w:rPr>
      </w:pPr>
      <w:r>
        <w:rPr>
          <w:rFonts w:ascii="仿宋_GB2312" w:eastAsia="仿宋_GB2312" w:hAnsi="仿宋_GB2312" w:cs="仿宋_GB2312" w:hint="eastAsia"/>
          <w:b w:val="0"/>
          <w:bCs w:val="0"/>
          <w:snapToGrid w:val="0"/>
          <w:sz w:val="32"/>
          <w:szCs w:val="32"/>
        </w:rPr>
        <w:t>9</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按照</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全面摸底、辅导诊断、标杆示范、规模推广、评估提升</w:t>
      </w:r>
      <w:r>
        <w:rPr>
          <w:rFonts w:ascii="仿宋_GB2312" w:eastAsia="仿宋_GB2312" w:hAnsi="仿宋_GB2312" w:cs="仿宋_GB2312" w:hint="eastAsia"/>
          <w:b w:val="0"/>
          <w:bCs w:val="0"/>
          <w:snapToGrid w:val="0"/>
          <w:sz w:val="32"/>
          <w:szCs w:val="32"/>
        </w:rPr>
        <w:t>”</w:t>
      </w:r>
      <w:r>
        <w:rPr>
          <w:rFonts w:ascii="仿宋_GB2312" w:eastAsia="仿宋_GB2312" w:hAnsi="仿宋_GB2312" w:cs="仿宋_GB2312" w:hint="eastAsia"/>
          <w:b w:val="0"/>
          <w:bCs w:val="0"/>
          <w:snapToGrid w:val="0"/>
          <w:sz w:val="32"/>
          <w:szCs w:val="32"/>
        </w:rPr>
        <w:t>五步工作法，组织规上工业企业数字化转型情况摸底调查，全面了解企业数字化现状及痛点难点问题；为重点企业提供评估</w:t>
      </w:r>
      <w:r>
        <w:rPr>
          <w:rFonts w:ascii="仿宋_GB2312" w:eastAsia="仿宋_GB2312" w:hAnsi="仿宋_GB2312" w:cs="仿宋_GB2312" w:hint="eastAsia"/>
          <w:b w:val="0"/>
          <w:bCs w:val="0"/>
          <w:snapToGrid w:val="0"/>
          <w:sz w:val="32"/>
          <w:szCs w:val="32"/>
        </w:rPr>
        <w:t>诊断</w:t>
      </w:r>
      <w:r>
        <w:rPr>
          <w:rFonts w:ascii="仿宋_GB2312" w:eastAsia="仿宋_GB2312" w:hAnsi="仿宋_GB2312" w:cs="仿宋_GB2312" w:hint="eastAsia"/>
          <w:b w:val="0"/>
          <w:bCs w:val="0"/>
          <w:snapToGrid w:val="0"/>
          <w:sz w:val="32"/>
          <w:szCs w:val="32"/>
        </w:rPr>
        <w:t>服务，提出针对性的改造建议；分行业、分区域，聚焦重大平台和重大工程，围绕传统产业转型升级，在智能制造、智慧汽车等领域深挖应用场景，通过新技术新产品推动制造业数字化转型，形成一批标杆示范；总结典型经验和发展成效，</w:t>
      </w:r>
      <w:r>
        <w:rPr>
          <w:rFonts w:ascii="仿宋_GB2312" w:eastAsia="仿宋_GB2312" w:hAnsi="仿宋_GB2312" w:cs="仿宋_GB2312" w:hint="eastAsia"/>
          <w:b w:val="0"/>
          <w:bCs w:val="0"/>
          <w:snapToGrid w:val="0"/>
          <w:sz w:val="32"/>
          <w:szCs w:val="32"/>
        </w:rPr>
        <w:t>逐步向全行业、全领域</w:t>
      </w:r>
      <w:r>
        <w:rPr>
          <w:rFonts w:ascii="仿宋_GB2312" w:eastAsia="仿宋_GB2312" w:hAnsi="仿宋_GB2312" w:cs="仿宋_GB2312" w:hint="eastAsia"/>
          <w:b w:val="0"/>
          <w:bCs w:val="0"/>
          <w:snapToGrid w:val="0"/>
          <w:sz w:val="32"/>
          <w:szCs w:val="32"/>
        </w:rPr>
        <w:t>进行规模化</w:t>
      </w:r>
      <w:r>
        <w:rPr>
          <w:rFonts w:ascii="仿宋_GB2312" w:eastAsia="仿宋_GB2312" w:hAnsi="仿宋_GB2312" w:cs="仿宋_GB2312" w:hint="eastAsia"/>
          <w:b w:val="0"/>
          <w:bCs w:val="0"/>
          <w:snapToGrid w:val="0"/>
          <w:sz w:val="32"/>
          <w:szCs w:val="32"/>
        </w:rPr>
        <w:t>推广</w:t>
      </w:r>
      <w:r>
        <w:rPr>
          <w:rFonts w:ascii="仿宋_GB2312" w:eastAsia="仿宋_GB2312" w:hAnsi="仿宋_GB2312" w:cs="仿宋_GB2312" w:hint="eastAsia"/>
          <w:b w:val="0"/>
          <w:bCs w:val="0"/>
          <w:snapToGrid w:val="0"/>
          <w:sz w:val="32"/>
          <w:szCs w:val="32"/>
        </w:rPr>
        <w:t>；对企业数字化转型成效进行评估，分阶段持续提升；持续推动制造业高端化、智能化、绿色化转型。</w:t>
      </w:r>
    </w:p>
    <w:p>
      <w:pPr>
        <w:spacing w:line="240" w:lineRule="auto"/>
        <w:ind w:firstLine="311" w:firstLineChars="148"/>
        <w:rPr>
          <w:rFonts w:ascii="宋体" w:eastAsia="黑体" w:hAnsi="宋体"/>
          <w:b w:val="0"/>
          <w:bCs w:val="0"/>
          <w:snapToGrid w:val="0"/>
          <w:sz w:val="32"/>
          <w:szCs w:val="32"/>
        </w:rPr>
      </w:pPr>
      <w:r>
        <w:rPr>
          <w:rFonts w:ascii="宋体" w:eastAsia="黑体" w:hAnsi="宋体" w:hint="eastAsia"/>
          <w:b w:val="0"/>
          <w:bCs w:val="0"/>
          <w:snapToGrid w:val="0"/>
          <w:sz w:val="32"/>
          <w:szCs w:val="32"/>
        </w:rPr>
        <w:t>四、保障措施</w:t>
      </w:r>
    </w:p>
    <w:p>
      <w:pPr>
        <w:spacing w:line="240" w:lineRule="auto"/>
        <w:ind w:firstLine="311" w:firstLineChars="148"/>
        <w:rPr>
          <w:rFonts w:ascii="宋体" w:eastAsia="仿宋_GB2312" w:hAnsi="宋体"/>
          <w:snapToGrid w:val="0"/>
          <w:sz w:val="32"/>
          <w:szCs w:val="32"/>
        </w:rPr>
      </w:pPr>
      <w:r>
        <w:rPr>
          <w:rFonts w:ascii="仿宋_GB2312" w:eastAsia="仿宋_GB2312" w:hAnsi="宋体" w:hint="eastAsia"/>
          <w:b w:val="0"/>
          <w:bCs w:val="0"/>
          <w:snapToGrid w:val="0"/>
          <w:sz w:val="32"/>
          <w:szCs w:val="32"/>
        </w:rPr>
        <w:t>一是加强组织实施，</w:t>
      </w:r>
      <w:r>
        <w:rPr>
          <w:rFonts w:ascii="仿宋_GB2312" w:eastAsia="仿宋_GB2312" w:hAnsi="宋体" w:hint="eastAsia"/>
          <w:b w:val="0"/>
          <w:bCs w:val="0"/>
          <w:snapToGrid w:val="0"/>
          <w:sz w:val="32"/>
          <w:szCs w:val="32"/>
        </w:rPr>
        <w:t>建立自治区、市、县三级联动机制，自治区层面负责统筹推进，按时间节点定期调度通报进展情况，协调解决困难问题。鼓励各地根据实际情况创新工作举措，引导企业加快数字化转型，确保各项任务落实见效。</w:t>
      </w:r>
      <w:r>
        <w:rPr>
          <w:rFonts w:ascii="仿宋_GB2312" w:eastAsia="仿宋_GB2312" w:hAnsi="宋体" w:hint="eastAsia"/>
          <w:b w:val="0"/>
          <w:bCs w:val="0"/>
          <w:snapToGrid w:val="0"/>
          <w:sz w:val="32"/>
          <w:szCs w:val="32"/>
        </w:rPr>
        <w:t>二是优化政策供给，</w:t>
      </w:r>
      <w:r>
        <w:rPr>
          <w:rFonts w:ascii="仿宋_GB2312" w:eastAsia="仿宋_GB2312" w:hAnsi="宋体" w:hint="eastAsia"/>
          <w:b w:val="0"/>
          <w:bCs w:val="0"/>
          <w:snapToGrid w:val="0"/>
          <w:sz w:val="32"/>
          <w:szCs w:val="32"/>
        </w:rPr>
        <w:t>对</w:t>
      </w:r>
      <w:r>
        <w:rPr>
          <w:rFonts w:ascii="仿宋_GB2312" w:eastAsia="仿宋_GB2312" w:hAnsi="宋体" w:hint="eastAsia"/>
          <w:b w:val="0"/>
          <w:bCs w:val="0"/>
          <w:snapToGrid w:val="0"/>
          <w:sz w:val="32"/>
          <w:szCs w:val="32"/>
        </w:rPr>
        <w:t>“</w:t>
      </w:r>
      <w:r>
        <w:rPr>
          <w:rFonts w:ascii="仿宋_GB2312" w:eastAsia="仿宋_GB2312" w:hAnsi="宋体" w:hint="eastAsia"/>
          <w:b w:val="0"/>
          <w:bCs w:val="0"/>
          <w:snapToGrid w:val="0"/>
          <w:sz w:val="32"/>
          <w:szCs w:val="32"/>
        </w:rPr>
        <w:t>智改数转网联</w:t>
      </w:r>
      <w:r>
        <w:rPr>
          <w:rFonts w:ascii="仿宋_GB2312" w:eastAsia="仿宋_GB2312" w:hAnsi="宋体" w:hint="eastAsia"/>
          <w:b w:val="0"/>
          <w:bCs w:val="0"/>
          <w:snapToGrid w:val="0"/>
          <w:sz w:val="32"/>
          <w:szCs w:val="32"/>
        </w:rPr>
        <w:t>”</w:t>
      </w:r>
      <w:r>
        <w:rPr>
          <w:rFonts w:ascii="仿宋_GB2312" w:eastAsia="仿宋_GB2312" w:hAnsi="宋体" w:hint="eastAsia"/>
          <w:b w:val="0"/>
          <w:bCs w:val="0"/>
          <w:snapToGrid w:val="0"/>
          <w:sz w:val="32"/>
          <w:szCs w:val="32"/>
        </w:rPr>
        <w:t>等数字化转型项目加大财政支持；对广西工业互联网暨制造业数字化转型产业生态供给资源池中的优秀企业给予奖励；</w:t>
      </w:r>
      <w:r>
        <w:rPr>
          <w:rFonts w:ascii="仿宋_GB2312" w:eastAsia="仿宋_GB2312" w:hAnsi="Times New Roman" w:hint="eastAsia"/>
          <w:b w:val="0"/>
          <w:bCs w:val="0"/>
          <w:snapToGrid w:val="0"/>
          <w:sz w:val="32"/>
          <w:szCs w:val="32"/>
        </w:rPr>
        <w:t>加大金融、教育、人才、科技的支持力度</w:t>
      </w:r>
      <w:r>
        <w:rPr>
          <w:rFonts w:ascii="仿宋_GB2312" w:eastAsia="仿宋_GB2312" w:hint="eastAsia"/>
          <w:b w:val="0"/>
          <w:bCs w:val="0"/>
          <w:snapToGrid w:val="0"/>
          <w:sz w:val="32"/>
          <w:szCs w:val="32"/>
        </w:rPr>
        <w:t>。</w:t>
      </w:r>
      <w:r>
        <w:rPr>
          <w:rFonts w:ascii="仿宋_GB2312" w:eastAsia="仿宋_GB2312" w:hAnsi="宋体" w:hint="eastAsia"/>
          <w:b w:val="0"/>
          <w:bCs w:val="0"/>
          <w:snapToGrid w:val="0"/>
          <w:sz w:val="32"/>
          <w:szCs w:val="32"/>
        </w:rPr>
        <w:t>鼓励各地研究出台支持数字化转型的政策措施。</w:t>
      </w:r>
      <w:r>
        <w:rPr>
          <w:rFonts w:ascii="仿宋_GB2312" w:eastAsia="仿宋_GB2312" w:hAnsi="宋体" w:hint="eastAsia"/>
          <w:b w:val="0"/>
          <w:bCs w:val="0"/>
          <w:snapToGrid w:val="0"/>
          <w:sz w:val="32"/>
          <w:szCs w:val="32"/>
        </w:rPr>
        <w:t>三是营造浓厚氛围，</w:t>
      </w:r>
      <w:r>
        <w:rPr>
          <w:rFonts w:ascii="仿宋_GB2312" w:eastAsia="仿宋_GB2312" w:hAnsi="宋体" w:hint="eastAsia"/>
          <w:b w:val="0"/>
          <w:bCs w:val="0"/>
          <w:snapToGrid w:val="0"/>
          <w:sz w:val="32"/>
          <w:szCs w:val="32"/>
        </w:rPr>
        <w:t>定期选树一批工业企业数字化转型典型，加强经验总结和宣传推广；开展供需对接、场景发布、宣贯推介、交流观摩等系列活</w:t>
      </w:r>
      <w:r>
        <w:rPr>
          <w:rFonts w:ascii="宋体" w:eastAsia="仿宋_GB2312" w:hAnsi="宋体" w:hint="eastAsia"/>
          <w:b w:val="0"/>
          <w:bCs w:val="0"/>
          <w:snapToGrid w:val="0"/>
          <w:sz w:val="32"/>
          <w:szCs w:val="32"/>
        </w:rPr>
        <w:t>动；发挥高端智库支撑作用，为全区工业企业数字化转型提供专业性指导和服务，加速数字化转型进程。</w:t>
      </w:r>
    </w:p>
    <w:sectPr>
      <w:headerReference w:type="default" r:id="rId4"/>
      <w:footerReference w:type="even" r:id="rId5"/>
      <w:footerReference w:type="default" r:id="rId6"/>
      <w:type w:val="nextPage"/>
      <w:pgSz w:w="11906" w:h="16838"/>
      <w:pgMar w:top="1417" w:right="1587" w:bottom="1417" w:left="1701" w:header="851" w:footer="992" w:gutter="0"/>
      <w:paperSrc w:first="0" w:other="0"/>
      <w:pgNumType w:fmt="decimal"/>
      <w:cols w:space="720"/>
      <w:titlePg/>
      <w:rtlGutter w:val="0"/>
      <w:docGrid w:type="linesAndChars" w:linePitch="636" w:charSpace="20026"/>
    </w:sectPr>
  </w:body>
</w:document>
</file>

<file path=word/fontTable.xml><?xml version="1.0" encoding="utf-8"?>
<w:fonts xmlns:r="http://schemas.openxmlformats.org/officeDocument/2006/relationships" xmlns:w="http://schemas.openxmlformats.org/wordprocessingml/2006/main">
  <w:font w:name="等线">
    <w:altName w:val="仿宋"/>
    <w:panose1 w:val="00000000000000000000"/>
    <w:charset w:val="86"/>
    <w:family w:val="auto"/>
    <w:pitch w:val="default"/>
    <w:sig w:usb0="00000000" w:usb1="00000000" w:usb2="00000000" w:usb3="00000000" w:csb0="00040001" w:csb1="00000000"/>
  </w:font>
  <w:font w:name="Times New Roman">
    <w:altName w:val="Nimbus Roman No9 L"/>
    <w:panose1 w:val="00000000000000000000"/>
    <w:charset w:val="00"/>
    <w:family w:val="auto"/>
    <w:pitch w:val="default"/>
    <w:sig w:usb0="00000000" w:usb1="00000000" w:usb2="00000000" w:usb3="00000000" w:csb0="00000000" w:csb1="00000000"/>
  </w:font>
  <w:font w:name="宋体">
    <w:altName w:val="方正书宋_GBK"/>
    <w:panose1 w:val="02010600030101010101"/>
    <w:charset w:val="00"/>
    <w:family w:val="auto"/>
    <w:pitch w:val="default"/>
    <w:sig w:usb0="00000003" w:usb1="288F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sz w:val="28"/>
        <w:szCs w:val="22"/>
      </w:rPr>
    </w:pPr>
    <w:r>
      <w:rPr>
        <w:sz w:val="28"/>
      </w:rPr>
      <w:pict>
        <v:shapetype id="_x0000_t202" coordsize="21600,21600" o:spt="202" path="m,l,21600r21600,l21600,xe">
          <v:stroke joinstyle="miter"/>
          <v:path gradientshapeok="t" o:connecttype="rect"/>
        </v:shapetype>
        <v:shape id="文本框 2" o:spid="_x0000_s2049" type="#_x0000_t202" style="height:2in;margin-left:0;margin-top:0;mso-position-horizontal:outside;mso-position-horizontal-relative:margin;mso-wrap-style:none;position:absolute;v-text-anchor:top;width:2in;z-index:251660288" filled="f" stroked="f" strokeweight="0.5pt">
          <v:fill o:detectmouseclick="t"/>
          <v:shadow color="gray"/>
          <o:lock v:ext="edit" aspectratio="f"/>
          <v:textbox style="layout-flow:horizontal;mso-fit-shape-to-text:t" inset="0,0,0,0">
            <w:txbxContent>
              <w:p>
                <w:pPr>
                  <w:pStyle w:val="Footer"/>
                  <w:tabs>
                    <w:tab w:val="center" w:pos="4153"/>
                    <w:tab w:val="right" w:pos="8306"/>
                  </w:tabs>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jc w:val="right"/>
      <w:rPr>
        <w:rFonts w:ascii="宋体" w:eastAsia="宋体" w:hAnsi="宋体"/>
        <w:sz w:val="28"/>
      </w:rPr>
    </w:pPr>
    <w:r>
      <w:rPr>
        <w:sz w:val="28"/>
      </w:rPr>
      <w:pict>
        <v:shapetype id="_x0000_t202" coordsize="21600,21600" o:spt="202" path="m,l,21600r21600,l21600,xe">
          <v:stroke joinstyle="miter"/>
          <v:path gradientshapeok="t" o:connecttype="rect"/>
        </v:shapetype>
        <v:shape id="文本框 1" o:spid="_x0000_s2050" type="#_x0000_t202" style="height:2in;margin-left:0;margin-top:0;mso-position-horizontal:outside;mso-position-horizontal-relative:margin;mso-wrap-style:none;position:absolute;v-text-anchor:top;width:2in;z-index:251658240" filled="f" stroked="f" strokeweight="0.5pt">
          <v:fill o:detectmouseclick="t"/>
          <v:shadow color="gray"/>
          <o:lock v:ext="edit" aspectratio="f"/>
          <v:textbox style="layout-flow:horizontal;mso-fit-shape-to-text:t" inset="0,0,0,0">
            <w:txbxContent>
              <w:p>
                <w:pPr>
                  <w:pStyle w:val="Footer"/>
                  <w:tabs>
                    <w:tab w:val="center" w:pos="4153"/>
                    <w:tab w:val="right" w:pos="8306"/>
                  </w:tabs>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pPr>
      <w:pStyle w:val="Footer"/>
      <w:tabs>
        <w:tab w:val="center" w:pos="4153"/>
        <w:tab w:val="right" w:pos="8306"/>
      </w:tabs>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202" coordsize="21600,21600" o:spt="202" path="m,l,21600r21600,l21600,xe">
          <v:stroke joinstyle="miter"/>
          <v:path gradientshapeok="t" o:connecttype="rect"/>
        </v:shapetype>
        <v:shape id="ImpTraceLabel" o:spid="_x0000_s2051" type="#_x0000_t202" style="height:0;margin-left:0;margin-top:0;mso-position-horizontal-relative:page;mso-position-vertical-relative:page;position:absolute;width:0;z-index:251659264" filled="f" stroked="f">
          <v:path strokeok="f" textboxrect="0,0,21600,21600"/>
          <v:textbox>
            <w:txbxContent>
              <w:p>
                <w:r>
                  <w:t>ImpTraceLabel=PD94bWwgdmVyc2lvbj0nMS4wJyBlbmNvZGluZz0nVVRGLTgnPz48dHJhY2U+PGNvbnRlbnQ+PC9jb250ZW50PjxhY2NvdW50PnRsN3lrcmUyem84YXV3Z2R2a2hpZ3E8L2FjY291bnQ+PG1hY2hpbmVDb2RlPjI2MTkwRjA1QUI2MAo8L21hY2hpbmVDb2RlPjx0aW1lPjIwMjQtMDYtMDUgMTc6MTM6MTM8L3RpbWU+PHN5c3RlbT5NQjxzeXN0ZW0+PC90cmFjZT4=</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comments="1" w:formatting="1" w:inkAnnotations="1" w:insDel="1" w:markup="0"/>
  <w:trackRevisions/>
  <w:defaultTabStop w:val="420"/>
  <w:evenAndOddHeaders/>
  <w:drawingGridHorizontalSpacing w:val="154"/>
  <w:drawingGridVerticalSpacing w:val="318"/>
  <w:displayHorizontalDrawingGridEvery w:val="2"/>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cs="Times New Roman"/>
      <w:kern w:val="2"/>
      <w:sz w:val="21"/>
      <w:szCs w:val="22"/>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alloonText">
    <w:name w:val="Balloon Text"/>
    <w:basedOn w:val="Normal"/>
    <w:link w:val="a"/>
    <w:uiPriority w:val="99"/>
    <w:unhideWhenUsed/>
    <w:qFormat/>
    <w:rPr>
      <w:sz w:val="18"/>
      <w:szCs w:val="18"/>
    </w:rPr>
  </w:style>
  <w:style w:type="character" w:customStyle="1" w:styleId="a">
    <w:name w:val="批注框文本 字符"/>
    <w:basedOn w:val="DefaultParagraphFont"/>
    <w:link w:val="BalloonText"/>
    <w:uiPriority w:val="99"/>
    <w:semiHidden/>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qFormat/>
    <w:rPr>
      <w:sz w:val="18"/>
      <w:szCs w:val="18"/>
    </w:rPr>
  </w:style>
  <w:style w:type="paragraph" w:styleId="Header">
    <w:name w:val="header"/>
    <w:basedOn w:val="Normal"/>
    <w:link w:val="a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1">
    <w:name w:val="页眉 字符"/>
    <w:basedOn w:val="DefaultParagraphFont"/>
    <w:link w:val="Header"/>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157258080</TotalTime>
  <Pages>5</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全区工业企业数字化转型工作方案</dc:title>
  <dc:creator>Karry Lu (卢雪)</dc:creator>
  <cp:lastModifiedBy>gxxc</cp:lastModifiedBy>
  <cp:revision>20</cp:revision>
  <cp:lastPrinted>2024-03-11T08:40:00Z</cp:lastPrinted>
  <dcterms:created xsi:type="dcterms:W3CDTF">2024-04-25T00:52:00Z</dcterms:created>
  <dcterms:modified xsi:type="dcterms:W3CDTF">2024-05-23T11:26:41Z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慧眼令牌">
    <vt:lpwstr>eyJraWQiOiJvYSIsInR5cCI6IkpXVCIsImFsZyI6IkhTMjU2In0.eyJzdWIiOiJPQS1MT0dJTiIsIm5iZiI6MTcxNTEzMTQ4NywiY29ycElkIjoiIiwiaXNzIjoiRVhPQSIsIm5hbWUiOiLlt6bmiJDmnpciLCJleHAiOjIwMzA0OTUwODcsImlhdCI6MTcxNTEzNDQ4NywidXNlcklkIjoyMDQ5NSwianRpIjoib2EiLCJhY2NvdW50IjoienVvY2wifQ.JV0KjJQFpWn2L4ZHpOYiyK5TLbkKc2qxArNfLkOr1cU</vt:lpwstr>
  </property>
</Properties>
</file>